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ahoma" w:cs="Tahoma" w:eastAsia="Tahoma" w:hAnsi="Tahoma"/>
          <w:b w:val="1"/>
          <w:bCs w:val="1"/>
          <w:color w:val="036287"/>
          <w:sz w:val="36"/>
          <w:szCs w:val="36"/>
        </w:rPr>
      </w:pPr>
      <w:r w:rsidDel="00000000" w:rsidR="00000000" w:rsidRPr="00000000">
        <w:rPr>
          <w:rFonts w:ascii="Tahoma" w:cs="Tahoma" w:eastAsia="Tahoma" w:hAnsi="Tahoma"/>
          <w:b w:val="1"/>
          <w:bCs w:val="1"/>
          <w:color w:val="036287"/>
          <w:sz w:val="36"/>
          <w:szCs w:val="36"/>
          <w:rtl w:val="0"/>
        </w:rPr>
        <w:t xml:space="preserve">Compte-rendu de commission d’homologation de l’entrepôt de données [</w:t>
      </w:r>
      <w:r w:rsidDel="00000000" w:rsidR="00000000" w:rsidRPr="00000000">
        <w:rPr>
          <w:rFonts w:ascii="Tahoma" w:cs="Tahoma" w:eastAsia="Tahoma" w:hAnsi="Tahoma"/>
          <w:b w:val="1"/>
          <w:bCs w:val="1"/>
          <w:color w:val="036287"/>
          <w:sz w:val="36"/>
          <w:szCs w:val="36"/>
          <w:highlight w:val="yellow"/>
          <w:rtl w:val="0"/>
        </w:rPr>
        <w:t xml:space="preserve">Nom de l’entrepôt</w:t>
      </w:r>
      <w:r w:rsidDel="00000000" w:rsidR="00000000" w:rsidRPr="00000000">
        <w:rPr>
          <w:rFonts w:ascii="Tahoma" w:cs="Tahoma" w:eastAsia="Tahoma" w:hAnsi="Tahoma"/>
          <w:b w:val="1"/>
          <w:bCs w:val="1"/>
          <w:color w:val="036287"/>
          <w:sz w:val="36"/>
          <w:szCs w:val="36"/>
          <w:rtl w:val="0"/>
        </w:rPr>
        <w:t xml:space="preserve">]</w:t>
      </w:r>
    </w:p>
    <w:p w:rsidR="00000000" w:rsidDel="00000000" w:rsidP="00000000" w:rsidRDefault="00000000" w:rsidRPr="00000000" w14:paraId="00000002">
      <w:pPr>
        <w:jc w:val="both"/>
        <w:rPr>
          <w:rFonts w:ascii="Tahoma" w:cs="Tahoma" w:eastAsia="Tahoma" w:hAnsi="Tahoma"/>
          <w:color w:val="036287"/>
          <w:sz w:val="32"/>
          <w:szCs w:val="32"/>
          <w:u w:val="single"/>
        </w:rPr>
      </w:pPr>
      <w:r w:rsidDel="00000000" w:rsidR="00000000" w:rsidRPr="00000000">
        <w:rPr>
          <w:rtl w:val="0"/>
        </w:rPr>
      </w:r>
    </w:p>
    <w:p w:rsidR="00000000" w:rsidDel="00000000" w:rsidP="00000000" w:rsidRDefault="00000000" w:rsidRPr="00000000" w14:paraId="00000003">
      <w:pPr>
        <w:spacing w:after="120" w:line="276" w:lineRule="auto"/>
        <w:ind w:hanging="2"/>
        <w:jc w:val="center"/>
        <w:rPr>
          <w:rFonts w:ascii="Tahoma" w:cs="Tahoma" w:eastAsia="Tahoma" w:hAnsi="Tahoma"/>
          <w:b w:val="1"/>
          <w:bCs w:val="1"/>
          <w:i w:val="1"/>
          <w:iCs w:val="1"/>
          <w:color w:val="036287"/>
          <w:sz w:val="28"/>
          <w:szCs w:val="28"/>
          <w:highlight w:val="yellow"/>
        </w:rPr>
      </w:pPr>
      <w:r w:rsidDel="00000000" w:rsidR="00000000" w:rsidRPr="00000000">
        <w:rPr>
          <w:rFonts w:ascii="Tahoma" w:cs="Tahoma" w:eastAsia="Tahoma" w:hAnsi="Tahoma"/>
          <w:b w:val="1"/>
          <w:bCs w:val="1"/>
          <w:i w:val="1"/>
          <w:iCs w:val="1"/>
          <w:color w:val="036287"/>
          <w:sz w:val="28"/>
          <w:szCs w:val="28"/>
          <w:highlight w:val="yellow"/>
          <w:rtl w:val="0"/>
        </w:rPr>
        <w:t xml:space="preserve">[Date]</w:t>
      </w:r>
    </w:p>
    <w:p w:rsidR="00000000" w:rsidDel="00000000" w:rsidP="00000000" w:rsidRDefault="00000000" w:rsidRPr="00000000" w14:paraId="00000004">
      <w:pPr>
        <w:spacing w:after="120" w:line="276" w:lineRule="auto"/>
        <w:ind w:hanging="2"/>
        <w:jc w:val="center"/>
        <w:rPr>
          <w:rFonts w:ascii="Tahoma" w:cs="Tahoma" w:eastAsia="Tahoma" w:hAnsi="Tahoma"/>
          <w:b w:val="1"/>
          <w:bCs w:val="1"/>
          <w:i w:val="1"/>
          <w:iCs w:val="1"/>
          <w:color w:val="036287"/>
          <w:sz w:val="36"/>
          <w:szCs w:val="36"/>
        </w:rPr>
      </w:pPr>
      <w:r w:rsidDel="00000000" w:rsidR="00000000" w:rsidRPr="00000000">
        <w:rPr>
          <w:rFonts w:ascii="Tahoma" w:cs="Tahoma" w:eastAsia="Tahoma" w:hAnsi="Tahoma"/>
          <w:b w:val="1"/>
          <w:bCs w:val="1"/>
          <w:i w:val="1"/>
          <w:iCs w:val="1"/>
          <w:color w:val="036287"/>
          <w:sz w:val="28"/>
          <w:szCs w:val="28"/>
          <w:highlight w:val="yellow"/>
          <w:rtl w:val="0"/>
        </w:rPr>
        <w:t xml:space="preserve">[Nom de l’entrepôt]</w:t>
      </w:r>
      <w:r w:rsidDel="00000000" w:rsidR="00000000" w:rsidRPr="00000000">
        <w:rPr>
          <w:rtl w:val="0"/>
        </w:rPr>
      </w:r>
    </w:p>
    <w:p w:rsidR="00000000" w:rsidDel="00000000" w:rsidP="00000000" w:rsidRDefault="00000000" w:rsidRPr="00000000" w14:paraId="00000005">
      <w:pPr>
        <w:keepNext w:val="1"/>
        <w:keepLines w:val="1"/>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480" w:line="240" w:lineRule="auto"/>
        <w:ind w:left="360" w:right="0" w:hanging="360"/>
        <w:jc w:val="both"/>
        <w:rPr>
          <w:rFonts w:ascii="Tahoma" w:cs="Tahoma" w:eastAsia="Tahoma" w:hAnsi="Tahoma"/>
          <w:b w:val="1"/>
          <w:bCs w:val="1"/>
          <w:i w:val="0"/>
          <w:iCs w:val="0"/>
          <w:smallCaps w:val="0"/>
          <w:strike w:val="0"/>
          <w:color w:val="036287"/>
          <w:sz w:val="28"/>
          <w:szCs w:val="28"/>
          <w:u w:val="none"/>
          <w:shd w:fill="auto" w:val="clear"/>
          <w:vertAlign w:val="baseline"/>
        </w:rPr>
      </w:pPr>
      <w:r w:rsidDel="00000000" w:rsidR="00000000" w:rsidRPr="00000000">
        <w:rPr>
          <w:rFonts w:ascii="Tahoma" w:cs="Tahoma" w:eastAsia="Tahoma" w:hAnsi="Tahoma"/>
          <w:b w:val="1"/>
          <w:bCs w:val="1"/>
          <w:i w:val="0"/>
          <w:iCs w:val="0"/>
          <w:smallCaps w:val="0"/>
          <w:strike w:val="0"/>
          <w:color w:val="036287"/>
          <w:sz w:val="28"/>
          <w:szCs w:val="28"/>
          <w:u w:val="none"/>
          <w:shd w:fill="auto" w:val="clear"/>
          <w:vertAlign w:val="baseline"/>
          <w:rtl w:val="0"/>
        </w:rPr>
        <w:t xml:space="preserve">Participant(e)s</w:t>
      </w:r>
    </w:p>
    <w:p w:rsidR="00000000" w:rsidDel="00000000" w:rsidP="00000000" w:rsidRDefault="00000000" w:rsidRPr="00000000" w14:paraId="00000006">
      <w:pPr>
        <w:jc w:val="both"/>
        <w:rPr>
          <w:rFonts w:ascii="Tahoma" w:cs="Tahoma" w:eastAsia="Tahoma" w:hAnsi="Tahoma"/>
          <w:sz w:val="22"/>
          <w:szCs w:val="22"/>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300" w:lineRule="auto"/>
        <w:ind w:left="1080" w:right="0" w:hanging="360"/>
        <w:jc w:val="both"/>
        <w:rPr>
          <w:rFonts w:ascii="Tahoma" w:cs="Tahoma" w:eastAsia="Tahoma" w:hAnsi="Tahoma"/>
          <w:b w:val="0"/>
          <w:bCs w:val="0"/>
          <w:i w:val="1"/>
          <w:iCs w:val="1"/>
          <w:smallCaps w:val="0"/>
          <w:strike w:val="0"/>
          <w:color w:val="000000"/>
          <w:sz w:val="22"/>
          <w:szCs w:val="22"/>
          <w:highlight w:val="yellow"/>
          <w:u w:val="none"/>
          <w:vertAlign w:val="baseline"/>
        </w:rPr>
      </w:pPr>
      <w:r w:rsidDel="00000000" w:rsidR="00000000" w:rsidRPr="00000000">
        <w:rPr>
          <w:rFonts w:ascii="Tahoma" w:cs="Tahoma" w:eastAsia="Tahoma" w:hAnsi="Tahoma"/>
          <w:i w:val="1"/>
          <w:iCs w:val="1"/>
          <w:smallCaps w:val="0"/>
          <w:strike w:val="0"/>
          <w:color w:val="000000"/>
          <w:sz w:val="22"/>
          <w:szCs w:val="22"/>
          <w:highlight w:val="yellow"/>
          <w:u w:val="none"/>
          <w:vertAlign w:val="baseline"/>
          <w:rtl w:val="0"/>
        </w:rPr>
        <w:t xml:space="preserve">[</w:t>
      </w:r>
      <w:r w:rsidDel="00000000" w:rsidR="00000000" w:rsidRPr="00000000">
        <w:rPr>
          <w:rFonts w:ascii="Tahoma" w:cs="Tahoma" w:eastAsia="Tahoma" w:hAnsi="Tahoma"/>
          <w:b w:val="1"/>
          <w:bCs w:val="1"/>
          <w:i w:val="1"/>
          <w:iCs w:val="1"/>
          <w:smallCaps w:val="0"/>
          <w:strike w:val="0"/>
          <w:color w:val="000000"/>
          <w:sz w:val="22"/>
          <w:szCs w:val="22"/>
          <w:highlight w:val="yellow"/>
          <w:u w:val="none"/>
          <w:vertAlign w:val="baseline"/>
          <w:rtl w:val="0"/>
        </w:rPr>
        <w:t xml:space="preserve">Prénom, nom,</w:t>
      </w:r>
      <w:r w:rsidDel="00000000" w:rsidR="00000000" w:rsidRPr="00000000">
        <w:rPr>
          <w:rFonts w:ascii="Tahoma" w:cs="Tahoma" w:eastAsia="Tahoma" w:hAnsi="Tahoma"/>
          <w:i w:val="1"/>
          <w:iCs w:val="1"/>
          <w:smallCaps w:val="0"/>
          <w:strike w:val="0"/>
          <w:color w:val="000000"/>
          <w:sz w:val="22"/>
          <w:szCs w:val="22"/>
          <w:highlight w:val="yellow"/>
          <w:u w:val="none"/>
          <w:vertAlign w:val="baseline"/>
          <w:rtl w:val="0"/>
        </w:rPr>
        <w:t xml:space="preserve"> fonction]</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300" w:lineRule="auto"/>
        <w:ind w:left="1080" w:right="0" w:hanging="360"/>
        <w:jc w:val="both"/>
        <w:rPr>
          <w:rFonts w:ascii="Tahoma" w:cs="Tahoma" w:eastAsia="Tahoma" w:hAnsi="Tahoma"/>
          <w:i w:val="1"/>
          <w:iCs w:val="1"/>
          <w:smallCaps w:val="0"/>
          <w:strike w:val="0"/>
          <w:color w:val="000000"/>
          <w:sz w:val="22"/>
          <w:szCs w:val="22"/>
          <w:highlight w:val="yellow"/>
          <w:vertAlign w:val="baseline"/>
        </w:rPr>
      </w:pPr>
      <w:r w:rsidDel="00000000" w:rsidR="00000000" w:rsidRPr="00000000">
        <w:rPr>
          <w:rFonts w:ascii="Tahoma" w:cs="Tahoma" w:eastAsia="Tahoma" w:hAnsi="Tahoma"/>
          <w:i w:val="1"/>
          <w:iCs w:val="1"/>
          <w:smallCaps w:val="0"/>
          <w:strike w:val="0"/>
          <w:color w:val="000000"/>
          <w:sz w:val="22"/>
          <w:szCs w:val="22"/>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09">
      <w:pPr>
        <w:keepNext w:val="1"/>
        <w:keepLines w:val="1"/>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480" w:line="240" w:lineRule="auto"/>
        <w:ind w:left="360" w:right="0" w:hanging="360"/>
        <w:jc w:val="both"/>
        <w:rPr>
          <w:rFonts w:ascii="Tahoma" w:cs="Tahoma" w:eastAsia="Tahoma" w:hAnsi="Tahoma"/>
          <w:b w:val="1"/>
          <w:bCs w:val="1"/>
          <w:i w:val="0"/>
          <w:iCs w:val="0"/>
          <w:smallCaps w:val="0"/>
          <w:strike w:val="0"/>
          <w:color w:val="036287"/>
          <w:sz w:val="28"/>
          <w:szCs w:val="28"/>
          <w:u w:val="none"/>
          <w:shd w:fill="auto" w:val="clear"/>
          <w:vertAlign w:val="baseline"/>
        </w:rPr>
      </w:pPr>
      <w:r w:rsidDel="00000000" w:rsidR="00000000" w:rsidRPr="00000000">
        <w:rPr>
          <w:rFonts w:ascii="Tahoma" w:cs="Tahoma" w:eastAsia="Tahoma" w:hAnsi="Tahoma"/>
          <w:b w:val="1"/>
          <w:bCs w:val="1"/>
          <w:i w:val="0"/>
          <w:iCs w:val="0"/>
          <w:smallCaps w:val="0"/>
          <w:strike w:val="0"/>
          <w:color w:val="036287"/>
          <w:sz w:val="28"/>
          <w:szCs w:val="28"/>
          <w:u w:val="none"/>
          <w:shd w:fill="auto" w:val="clear"/>
          <w:vertAlign w:val="baseline"/>
          <w:rtl w:val="0"/>
        </w:rPr>
        <w:t xml:space="preserve">Contenu de la présentation</w:t>
      </w:r>
    </w:p>
    <w:p w:rsidR="00000000" w:rsidDel="00000000" w:rsidP="00000000" w:rsidRDefault="00000000" w:rsidRPr="00000000" w14:paraId="0000000A">
      <w:pPr>
        <w:jc w:val="both"/>
        <w:rPr>
          <w:rFonts w:ascii="Tahoma" w:cs="Tahoma" w:eastAsia="Tahoma" w:hAnsi="Tahoma"/>
        </w:rPr>
      </w:pPr>
      <w:r w:rsidDel="00000000" w:rsidR="00000000" w:rsidRPr="00000000">
        <w:rPr>
          <w:rtl w:val="0"/>
        </w:rPr>
      </w:r>
    </w:p>
    <w:p w:rsidR="00000000" w:rsidDel="00000000" w:rsidP="00000000" w:rsidRDefault="00000000" w:rsidRPr="00000000" w14:paraId="0000000B">
      <w:pPr>
        <w:spacing w:after="160" w:lineRule="auto"/>
        <w:jc w:val="both"/>
        <w:rPr>
          <w:rFonts w:ascii="Tahoma" w:cs="Tahoma" w:eastAsia="Tahoma" w:hAnsi="Tahoma"/>
        </w:rPr>
      </w:pPr>
      <w:r w:rsidDel="00000000" w:rsidR="00000000" w:rsidRPr="00000000">
        <w:rPr>
          <w:rFonts w:ascii="Tahoma" w:cs="Tahoma" w:eastAsia="Tahoma" w:hAnsi="Tahoma"/>
          <w:color w:val="000000"/>
          <w:sz w:val="22"/>
          <w:szCs w:val="22"/>
          <w:rtl w:val="0"/>
        </w:rPr>
        <w:t xml:space="preserve">L’objectif de la réunion, menée par </w:t>
      </w:r>
      <w:r w:rsidDel="00000000" w:rsidR="00000000" w:rsidRPr="00000000">
        <w:rPr>
          <w:rFonts w:ascii="Tahoma" w:cs="Tahoma" w:eastAsia="Tahoma" w:hAnsi="Tahoma"/>
          <w:i w:val="1"/>
          <w:iCs w:val="1"/>
          <w:color w:val="000000"/>
          <w:sz w:val="22"/>
          <w:szCs w:val="22"/>
          <w:highlight w:val="yellow"/>
          <w:rtl w:val="0"/>
        </w:rPr>
        <w:t xml:space="preserve">[Fonction (e.g. RSSI du CHU X)]</w:t>
      </w:r>
      <w:r w:rsidDel="00000000" w:rsidR="00000000" w:rsidRPr="00000000">
        <w:rPr>
          <w:rFonts w:ascii="Tahoma" w:cs="Tahoma" w:eastAsia="Tahoma" w:hAnsi="Tahoma"/>
          <w:color w:val="000000"/>
          <w:sz w:val="22"/>
          <w:szCs w:val="22"/>
          <w:rtl w:val="0"/>
        </w:rPr>
        <w:t xml:space="preserve">, est de consulter l’ensemble des acteurs ayant participé à la démarche d’homologation afin d’évaluer le niveau d’acceptation des risques résiduels pour l</w:t>
      </w:r>
      <w:r w:rsidDel="00000000" w:rsidR="00000000" w:rsidRPr="00000000">
        <w:rPr>
          <w:rFonts w:ascii="Tahoma" w:cs="Tahoma" w:eastAsia="Tahoma" w:hAnsi="Tahoma"/>
          <w:sz w:val="22"/>
          <w:szCs w:val="22"/>
          <w:rtl w:val="0"/>
        </w:rPr>
        <w:t xml:space="preserve">’entrepôt de données de santé (EDS) </w:t>
      </w:r>
      <w:r w:rsidDel="00000000" w:rsidR="00000000" w:rsidRPr="00000000">
        <w:rPr>
          <w:rFonts w:ascii="Tahoma" w:cs="Tahoma" w:eastAsia="Tahoma" w:hAnsi="Tahoma"/>
          <w:i w:val="1"/>
          <w:iCs w:val="1"/>
          <w:color w:val="000000"/>
          <w:sz w:val="22"/>
          <w:szCs w:val="22"/>
          <w:highlight w:val="yellow"/>
          <w:rtl w:val="0"/>
        </w:rPr>
        <w:t xml:space="preserve">[Nom de</w:t>
      </w:r>
      <w:r w:rsidDel="00000000" w:rsidR="00000000" w:rsidRPr="00000000">
        <w:rPr>
          <w:rFonts w:ascii="Tahoma" w:cs="Tahoma" w:eastAsia="Tahoma" w:hAnsi="Tahoma"/>
          <w:i w:val="1"/>
          <w:iCs w:val="1"/>
          <w:sz w:val="22"/>
          <w:szCs w:val="22"/>
          <w:highlight w:val="yellow"/>
          <w:rtl w:val="0"/>
        </w:rPr>
        <w:t xml:space="preserve"> l’EDS</w:t>
      </w:r>
      <w:r w:rsidDel="00000000" w:rsidR="00000000" w:rsidRPr="00000000">
        <w:rPr>
          <w:rFonts w:ascii="Tahoma" w:cs="Tahoma" w:eastAsia="Tahoma" w:hAnsi="Tahoma"/>
          <w:i w:val="1"/>
          <w:iCs w:val="1"/>
          <w:color w:val="000000"/>
          <w:sz w:val="22"/>
          <w:szCs w:val="22"/>
          <w:highlight w:val="yellow"/>
          <w:rtl w:val="0"/>
        </w:rPr>
        <w:t xml:space="preserve">]</w:t>
      </w:r>
      <w:r w:rsidDel="00000000" w:rsidR="00000000" w:rsidRPr="00000000">
        <w:rPr>
          <w:rFonts w:ascii="Tahoma" w:cs="Tahoma" w:eastAsia="Tahoma" w:hAnsi="Tahoma"/>
          <w:color w:val="000000"/>
          <w:sz w:val="22"/>
          <w:szCs w:val="22"/>
          <w:rtl w:val="0"/>
        </w:rPr>
        <w:t xml:space="preserve"> et d’éclairer </w:t>
      </w:r>
      <w:r w:rsidDel="00000000" w:rsidR="00000000" w:rsidRPr="00000000">
        <w:rPr>
          <w:rFonts w:ascii="Tahoma" w:cs="Tahoma" w:eastAsia="Tahoma" w:hAnsi="Tahoma"/>
          <w:i w:val="1"/>
          <w:iCs w:val="1"/>
          <w:color w:val="000000"/>
          <w:sz w:val="22"/>
          <w:szCs w:val="22"/>
          <w:highlight w:val="yellow"/>
          <w:rtl w:val="0"/>
        </w:rPr>
        <w:t xml:space="preserve">[Fonction (e.g. Directrice du CHU X)]</w:t>
      </w:r>
      <w:r w:rsidDel="00000000" w:rsidR="00000000" w:rsidRPr="00000000">
        <w:rPr>
          <w:rFonts w:ascii="Tahoma" w:cs="Tahoma" w:eastAsia="Tahoma" w:hAnsi="Tahoma"/>
          <w:color w:val="000000"/>
          <w:sz w:val="22"/>
          <w:szCs w:val="22"/>
          <w:rtl w:val="0"/>
        </w:rPr>
        <w:t xml:space="preserve">, autorité d’homologation de l’</w:t>
      </w:r>
      <w:r w:rsidDel="00000000" w:rsidR="00000000" w:rsidRPr="00000000">
        <w:rPr>
          <w:rFonts w:ascii="Tahoma" w:cs="Tahoma" w:eastAsia="Tahoma" w:hAnsi="Tahoma"/>
          <w:sz w:val="22"/>
          <w:szCs w:val="22"/>
          <w:rtl w:val="0"/>
        </w:rPr>
        <w:t xml:space="preserve">EDS</w:t>
      </w:r>
      <w:r w:rsidDel="00000000" w:rsidR="00000000" w:rsidRPr="00000000">
        <w:rPr>
          <w:rFonts w:ascii="Tahoma" w:cs="Tahoma" w:eastAsia="Tahoma" w:hAnsi="Tahoma"/>
          <w:color w:val="000000"/>
          <w:sz w:val="22"/>
          <w:szCs w:val="22"/>
          <w:rtl w:val="0"/>
        </w:rPr>
        <w:t xml:space="preserve">, sur sa prise de décision.</w:t>
      </w:r>
      <w:r w:rsidDel="00000000" w:rsidR="00000000" w:rsidRPr="00000000">
        <w:rPr>
          <w:rtl w:val="0"/>
        </w:rPr>
      </w:r>
    </w:p>
    <w:p w:rsidR="00000000" w:rsidDel="00000000" w:rsidP="00000000" w:rsidRDefault="00000000" w:rsidRPr="00000000" w14:paraId="0000000C">
      <w:pPr>
        <w:jc w:val="both"/>
        <w:rPr>
          <w:rFonts w:ascii="Tahoma" w:cs="Tahoma" w:eastAsia="Tahoma" w:hAnsi="Tahoma"/>
        </w:rPr>
      </w:pPr>
      <w:r w:rsidDel="00000000" w:rsidR="00000000" w:rsidRPr="00000000">
        <w:rPr>
          <w:rtl w:val="0"/>
        </w:rPr>
      </w:r>
    </w:p>
    <w:p w:rsidR="00000000" w:rsidDel="00000000" w:rsidP="00000000" w:rsidRDefault="00000000" w:rsidRPr="00000000" w14:paraId="0000000D">
      <w:pPr>
        <w:spacing w:after="160" w:lineRule="auto"/>
        <w:jc w:val="both"/>
        <w:rPr>
          <w:rFonts w:ascii="Tahoma" w:cs="Tahoma" w:eastAsia="Tahoma" w:hAnsi="Tahoma"/>
        </w:rPr>
      </w:pPr>
      <w:r w:rsidDel="00000000" w:rsidR="00000000" w:rsidRPr="00000000">
        <w:rPr>
          <w:rFonts w:ascii="Tahoma" w:cs="Tahoma" w:eastAsia="Tahoma" w:hAnsi="Tahoma"/>
          <w:b w:val="1"/>
          <w:bCs w:val="1"/>
          <w:color w:val="000000"/>
          <w:sz w:val="22"/>
          <w:szCs w:val="22"/>
          <w:rtl w:val="0"/>
        </w:rPr>
        <w:t xml:space="preserve">Contexte et périmètre de l’homologation</w:t>
      </w:r>
      <w:r w:rsidDel="00000000" w:rsidR="00000000" w:rsidRPr="00000000">
        <w:rPr>
          <w:rtl w:val="0"/>
        </w:rPr>
      </w:r>
    </w:p>
    <w:p w:rsidR="00000000" w:rsidDel="00000000" w:rsidP="00000000" w:rsidRDefault="00000000" w:rsidRPr="00000000" w14:paraId="0000000E">
      <w:pPr>
        <w:numPr>
          <w:ilvl w:val="0"/>
          <w:numId w:val="5"/>
        </w:numPr>
        <w:ind w:left="720" w:hanging="360"/>
        <w:jc w:val="both"/>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Il est rappelé que la commission d’homologation</w:t>
      </w:r>
    </w:p>
    <w:p w:rsidR="00000000" w:rsidDel="00000000" w:rsidP="00000000" w:rsidRDefault="00000000" w:rsidRPr="00000000" w14:paraId="0000000F">
      <w:pPr>
        <w:numPr>
          <w:ilvl w:val="1"/>
          <w:numId w:val="5"/>
        </w:numPr>
        <w:ind w:left="1440" w:hanging="360"/>
        <w:jc w:val="both"/>
        <w:rPr>
          <w:color w:val="000000"/>
          <w:sz w:val="22"/>
          <w:szCs w:val="22"/>
        </w:rPr>
      </w:pPr>
      <w:r w:rsidDel="00000000" w:rsidR="00000000" w:rsidRPr="00000000">
        <w:rPr>
          <w:rFonts w:ascii="Tahoma" w:cs="Tahoma" w:eastAsia="Tahoma" w:hAnsi="Tahoma"/>
          <w:color w:val="000000"/>
          <w:sz w:val="22"/>
          <w:szCs w:val="22"/>
          <w:rtl w:val="0"/>
        </w:rPr>
        <w:t xml:space="preserve">A pour objet l’e</w:t>
      </w:r>
      <w:r w:rsidDel="00000000" w:rsidR="00000000" w:rsidRPr="00000000">
        <w:rPr>
          <w:rFonts w:ascii="Tahoma" w:cs="Tahoma" w:eastAsia="Tahoma" w:hAnsi="Tahoma"/>
          <w:sz w:val="22"/>
          <w:szCs w:val="22"/>
          <w:rtl w:val="0"/>
        </w:rPr>
        <w:t xml:space="preserve">ntrepôt de données de santé </w:t>
      </w:r>
      <w:r w:rsidDel="00000000" w:rsidR="00000000" w:rsidRPr="00000000">
        <w:rPr>
          <w:rFonts w:ascii="Tahoma" w:cs="Tahoma" w:eastAsia="Tahoma" w:hAnsi="Tahoma"/>
          <w:i w:val="1"/>
          <w:iCs w:val="1"/>
          <w:sz w:val="22"/>
          <w:szCs w:val="22"/>
          <w:highlight w:val="yellow"/>
          <w:rtl w:val="0"/>
        </w:rPr>
        <w:t xml:space="preserve">[Nom de l’EDS]</w:t>
      </w:r>
      <w:r w:rsidDel="00000000" w:rsidR="00000000" w:rsidRPr="00000000">
        <w:rPr>
          <w:rFonts w:ascii="Tahoma" w:cs="Tahoma" w:eastAsia="Tahoma" w:hAnsi="Tahoma"/>
          <w:sz w:val="22"/>
          <w:szCs w:val="22"/>
          <w:rtl w:val="0"/>
        </w:rPr>
        <w:t xml:space="preserve"> </w:t>
      </w:r>
      <w:r w:rsidDel="00000000" w:rsidR="00000000" w:rsidRPr="00000000">
        <w:rPr>
          <w:rtl w:val="0"/>
        </w:rPr>
      </w:r>
    </w:p>
    <w:p w:rsidR="00000000" w:rsidDel="00000000" w:rsidP="00000000" w:rsidRDefault="00000000" w:rsidRPr="00000000" w14:paraId="00000010">
      <w:pPr>
        <w:numPr>
          <w:ilvl w:val="1"/>
          <w:numId w:val="5"/>
        </w:numPr>
        <w:ind w:left="1440" w:hanging="360"/>
        <w:jc w:val="both"/>
        <w:rPr>
          <w:color w:val="000000"/>
          <w:sz w:val="22"/>
          <w:szCs w:val="22"/>
        </w:rPr>
      </w:pPr>
      <w:r w:rsidDel="00000000" w:rsidR="00000000" w:rsidRPr="00000000">
        <w:rPr>
          <w:rFonts w:ascii="Tahoma" w:cs="Tahoma" w:eastAsia="Tahoma" w:hAnsi="Tahoma"/>
          <w:color w:val="000000"/>
          <w:sz w:val="22"/>
          <w:szCs w:val="22"/>
          <w:rtl w:val="0"/>
        </w:rPr>
        <w:t xml:space="preserve">A pour objectifs de présenter les risques identifiés lors de l’analyse de risque, les risques résiduels à date et les risques résiduels après application d’un plan d’actions afin de statuer en fin de séance sur l’homologation et ses modalités.</w:t>
        <w:br w:type="textWrapping"/>
        <w:br w:type="textWrapping"/>
      </w:r>
      <w:r w:rsidDel="00000000" w:rsidR="00000000" w:rsidRPr="00000000">
        <w:rPr>
          <w:rtl w:val="0"/>
        </w:rPr>
      </w:r>
    </w:p>
    <w:p w:rsidR="00000000" w:rsidDel="00000000" w:rsidP="00000000" w:rsidRDefault="00000000" w:rsidRPr="00000000" w14:paraId="00000011">
      <w:pPr>
        <w:numPr>
          <w:ilvl w:val="0"/>
          <w:numId w:val="5"/>
        </w:numPr>
        <w:ind w:left="720" w:hanging="360"/>
        <w:jc w:val="both"/>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Les membres de la commission d’homologation sont :</w:t>
      </w:r>
    </w:p>
    <w:p w:rsidR="00000000" w:rsidDel="00000000" w:rsidP="00000000" w:rsidRDefault="00000000" w:rsidRPr="00000000" w14:paraId="00000012">
      <w:pPr>
        <w:numPr>
          <w:ilvl w:val="1"/>
          <w:numId w:val="5"/>
        </w:numPr>
        <w:ind w:left="1440" w:hanging="360"/>
        <w:jc w:val="both"/>
        <w:rPr>
          <w:color w:val="ff9900"/>
          <w:sz w:val="22"/>
          <w:szCs w:val="22"/>
        </w:rPr>
      </w:pPr>
      <w:r w:rsidDel="00000000" w:rsidR="00000000" w:rsidRPr="00000000">
        <w:rPr>
          <w:rFonts w:ascii="Tahoma" w:cs="Tahoma" w:eastAsia="Tahoma" w:hAnsi="Tahoma"/>
          <w:color w:val="ff9900"/>
          <w:sz w:val="22"/>
          <w:szCs w:val="22"/>
          <w:rtl w:val="0"/>
        </w:rPr>
        <w:t xml:space="preserve">Lister les membres de la commission d’homologation : Autorité d’homologation, RSSI, DPO, etc.</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ahoma" w:cs="Tahoma" w:eastAsia="Tahoma" w:hAnsi="Tahoma"/>
          <w:b w:val="1"/>
          <w:bCs w:val="1"/>
          <w:i w:val="0"/>
          <w:iCs w:val="0"/>
          <w:smallCaps w:val="0"/>
          <w:strike w:val="0"/>
          <w:color w:val="000000"/>
          <w:sz w:val="22"/>
          <w:szCs w:val="22"/>
          <w:u w:val="none"/>
          <w:shd w:fill="auto" w:val="clear"/>
          <w:vertAlign w:val="baseline"/>
        </w:rPr>
      </w:pPr>
      <w:r w:rsidDel="00000000" w:rsidR="00000000" w:rsidRPr="00000000">
        <w:rPr>
          <w:rFonts w:ascii="Tahoma" w:cs="Tahoma" w:eastAsia="Tahoma" w:hAnsi="Tahoma"/>
          <w:i w:val="0"/>
          <w:iCs w:val="0"/>
          <w:smallCaps w:val="0"/>
          <w:strike w:val="0"/>
          <w:color w:val="e69138"/>
          <w:sz w:val="22"/>
          <w:szCs w:val="22"/>
          <w:u w:val="none"/>
          <w:shd w:fill="auto" w:val="clear"/>
          <w:vertAlign w:val="baseline"/>
          <w:rtl w:val="0"/>
        </w:rPr>
        <w:br w:type="textWrapping"/>
      </w:r>
      <w:r w:rsidDel="00000000" w:rsidR="00000000" w:rsidRPr="00000000">
        <w:rPr>
          <w:rFonts w:ascii="Tahoma" w:cs="Tahoma" w:eastAsia="Tahoma" w:hAnsi="Tahoma"/>
          <w:b w:val="1"/>
          <w:bCs w:val="1"/>
          <w:i w:val="0"/>
          <w:iCs w:val="0"/>
          <w:smallCaps w:val="0"/>
          <w:strike w:val="0"/>
          <w:color w:val="000000"/>
          <w:sz w:val="22"/>
          <w:szCs w:val="22"/>
          <w:u w:val="none"/>
          <w:shd w:fill="auto" w:val="clear"/>
          <w:vertAlign w:val="baseline"/>
          <w:rtl w:val="0"/>
        </w:rPr>
        <w:t xml:space="preserve">Présentation de la démarche de sécurité et des risques résiduels</w:t>
      </w:r>
    </w:p>
    <w:p w:rsidR="00000000" w:rsidDel="00000000" w:rsidP="00000000" w:rsidRDefault="00000000" w:rsidRPr="00000000" w14:paraId="00000014">
      <w:pPr>
        <w:numPr>
          <w:ilvl w:val="0"/>
          <w:numId w:val="2"/>
        </w:numPr>
        <w:ind w:left="720" w:hanging="360"/>
        <w:jc w:val="both"/>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Le corpus réglementaire encadrant la démarche d’homologation, notamment liée à la conformité au référentiel de sécurité SNDS, et les éléments du dossier d’homologation sont présentés :</w:t>
      </w:r>
    </w:p>
    <w:p w:rsidR="00000000" w:rsidDel="00000000" w:rsidP="00000000" w:rsidRDefault="00000000" w:rsidRPr="00000000" w14:paraId="00000015">
      <w:pPr>
        <w:numPr>
          <w:ilvl w:val="1"/>
          <w:numId w:val="2"/>
        </w:numPr>
        <w:ind w:left="1440" w:hanging="360"/>
        <w:jc w:val="both"/>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Une analyse de risque SSI</w:t>
      </w:r>
    </w:p>
    <w:p w:rsidR="00000000" w:rsidDel="00000000" w:rsidP="00000000" w:rsidRDefault="00000000" w:rsidRPr="00000000" w14:paraId="00000016">
      <w:pPr>
        <w:numPr>
          <w:ilvl w:val="1"/>
          <w:numId w:val="2"/>
        </w:numPr>
        <w:ind w:left="1440" w:hanging="360"/>
        <w:jc w:val="both"/>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Une analyse d’impact relative à la protection des données à caractère personnel</w:t>
      </w:r>
    </w:p>
    <w:p w:rsidR="00000000" w:rsidDel="00000000" w:rsidP="00000000" w:rsidRDefault="00000000" w:rsidRPr="00000000" w14:paraId="00000017">
      <w:pPr>
        <w:ind w:left="1440" w:firstLine="0"/>
        <w:jc w:val="both"/>
        <w:rPr>
          <w:rFonts w:ascii="Tahoma" w:cs="Tahoma" w:eastAsia="Tahoma" w:hAnsi="Tahoma"/>
        </w:rPr>
      </w:pPr>
      <w:r w:rsidDel="00000000" w:rsidR="00000000" w:rsidRPr="00000000">
        <w:rPr>
          <w:rtl w:val="0"/>
        </w:rPr>
      </w:r>
    </w:p>
    <w:p w:rsidR="00000000" w:rsidDel="00000000" w:rsidP="00000000" w:rsidRDefault="00000000" w:rsidRPr="00000000" w14:paraId="00000018">
      <w:pPr>
        <w:numPr>
          <w:ilvl w:val="0"/>
          <w:numId w:val="6"/>
        </w:numPr>
        <w:ind w:left="720" w:hanging="360"/>
        <w:jc w:val="both"/>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Les principaux risques identifiés liés à l</w:t>
      </w:r>
      <w:r w:rsidDel="00000000" w:rsidR="00000000" w:rsidRPr="00000000">
        <w:rPr>
          <w:rFonts w:ascii="Tahoma" w:cs="Tahoma" w:eastAsia="Tahoma" w:hAnsi="Tahoma"/>
          <w:sz w:val="22"/>
          <w:szCs w:val="22"/>
          <w:rtl w:val="0"/>
        </w:rPr>
        <w:t xml:space="preserve">a mise en oeuvre de l’EDS</w:t>
      </w:r>
      <w:r w:rsidDel="00000000" w:rsidR="00000000" w:rsidRPr="00000000">
        <w:rPr>
          <w:rFonts w:ascii="Tahoma" w:cs="Tahoma" w:eastAsia="Tahoma" w:hAnsi="Tahoma"/>
          <w:color w:val="000000"/>
          <w:sz w:val="22"/>
          <w:szCs w:val="22"/>
          <w:rtl w:val="0"/>
        </w:rPr>
        <w:t xml:space="preserve"> sont exposés :</w:t>
      </w:r>
    </w:p>
    <w:p w:rsidR="00000000" w:rsidDel="00000000" w:rsidP="00000000" w:rsidRDefault="00000000" w:rsidRPr="00000000" w14:paraId="00000019">
      <w:pPr>
        <w:numPr>
          <w:ilvl w:val="1"/>
          <w:numId w:val="6"/>
        </w:numPr>
        <w:ind w:left="1440" w:hanging="360"/>
        <w:jc w:val="both"/>
        <w:rPr>
          <w:rFonts w:ascii="Tahoma" w:cs="Tahoma" w:eastAsia="Tahoma" w:hAnsi="Tahoma"/>
          <w:color w:val="ff9900"/>
          <w:sz w:val="22"/>
          <w:szCs w:val="22"/>
        </w:rPr>
      </w:pPr>
      <w:r w:rsidDel="00000000" w:rsidR="00000000" w:rsidRPr="00000000">
        <w:rPr>
          <w:rFonts w:ascii="Tahoma" w:cs="Tahoma" w:eastAsia="Tahoma" w:hAnsi="Tahoma"/>
          <w:color w:val="ff9900"/>
          <w:sz w:val="22"/>
          <w:szCs w:val="22"/>
          <w:rtl w:val="0"/>
        </w:rPr>
        <w:t xml:space="preserve">Lister les risques résiduels identifiés et acceptés, e.g. Accès illicite à des données à caractère personnel, fuite de données protégées par la propriété intellectuelle, etc. Détailler précisément quels sont les risques résiduels acceptés (cf. renvoi de la décision d’homologation)</w:t>
      </w:r>
    </w:p>
    <w:p w:rsidR="00000000" w:rsidDel="00000000" w:rsidP="00000000" w:rsidRDefault="00000000" w:rsidRPr="00000000" w14:paraId="0000001A">
      <w:pPr>
        <w:ind w:left="1440" w:firstLine="0"/>
        <w:jc w:val="both"/>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1B">
      <w:pPr>
        <w:numPr>
          <w:ilvl w:val="0"/>
          <w:numId w:val="1"/>
        </w:numPr>
        <w:ind w:left="720" w:hanging="360"/>
        <w:jc w:val="both"/>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La position des risques “bruts” de l’analyse de risque sur la matrice impact / vraisemblance est présentée. Cet exercice théorique positionne les risques en considérant les mesures de sécurité déjà mises en place </w:t>
      </w:r>
      <w:r w:rsidDel="00000000" w:rsidR="00000000" w:rsidRPr="00000000">
        <w:rPr>
          <w:rFonts w:ascii="Tahoma" w:cs="Tahoma" w:eastAsia="Tahoma" w:hAnsi="Tahoma"/>
          <w:sz w:val="22"/>
          <w:szCs w:val="22"/>
          <w:rtl w:val="0"/>
        </w:rPr>
        <w:t xml:space="preserve">au sein du système d’information qui accueillera l’EDS</w:t>
      </w:r>
      <w:r w:rsidDel="00000000" w:rsidR="00000000" w:rsidRPr="00000000">
        <w:rPr>
          <w:rFonts w:ascii="Tahoma" w:cs="Tahoma" w:eastAsia="Tahoma" w:hAnsi="Tahoma"/>
          <w:color w:val="000000"/>
          <w:sz w:val="22"/>
          <w:szCs w:val="22"/>
          <w:rtl w:val="0"/>
        </w:rPr>
        <w:t xml:space="preserve">.</w:t>
      </w:r>
    </w:p>
    <w:p w:rsidR="00000000" w:rsidDel="00000000" w:rsidP="00000000" w:rsidRDefault="00000000" w:rsidRPr="00000000" w14:paraId="0000001C">
      <w:pPr>
        <w:ind w:left="720" w:firstLine="0"/>
        <w:jc w:val="both"/>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1D">
      <w:pPr>
        <w:numPr>
          <w:ilvl w:val="0"/>
          <w:numId w:val="1"/>
        </w:numPr>
        <w:ind w:left="720" w:hanging="360"/>
        <w:jc w:val="both"/>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Un certain nombre de mesures de sécurité de gouvernance, d’organisation et techniques sont présentées ; elles permettent de réduire la vraisemblance de réalisation d’un certain nombre de risques identifiés.</w:t>
      </w:r>
    </w:p>
    <w:p w:rsidR="00000000" w:rsidDel="00000000" w:rsidP="00000000" w:rsidRDefault="00000000" w:rsidRPr="00000000" w14:paraId="0000001E">
      <w:pPr>
        <w:ind w:left="720" w:firstLine="0"/>
        <w:jc w:val="both"/>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1F">
      <w:pPr>
        <w:numPr>
          <w:ilvl w:val="0"/>
          <w:numId w:val="1"/>
        </w:numPr>
        <w:ind w:left="720" w:hanging="360"/>
        <w:jc w:val="both"/>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La position des risques “résiduels”, après application de ces mesures, sur la matrice impact / vraisemblance est présentée.</w:t>
      </w:r>
    </w:p>
    <w:p w:rsidR="00000000" w:rsidDel="00000000" w:rsidP="00000000" w:rsidRDefault="00000000" w:rsidRPr="00000000" w14:paraId="00000020">
      <w:pPr>
        <w:ind w:left="720" w:firstLine="0"/>
        <w:jc w:val="both"/>
        <w:rPr>
          <w:rFonts w:ascii="Tahoma" w:cs="Tahoma" w:eastAsia="Tahoma" w:hAnsi="Tahoma"/>
          <w:color w:val="000000"/>
          <w:sz w:val="22"/>
          <w:szCs w:val="22"/>
        </w:rPr>
      </w:pPr>
      <w:r w:rsidDel="00000000" w:rsidR="00000000" w:rsidRPr="00000000">
        <w:rPr>
          <w:rtl w:val="0"/>
        </w:rPr>
      </w:r>
    </w:p>
    <w:p w:rsidR="00000000" w:rsidDel="00000000" w:rsidP="00000000" w:rsidRDefault="00000000" w:rsidRPr="00000000" w14:paraId="00000021">
      <w:pPr>
        <w:numPr>
          <w:ilvl w:val="0"/>
          <w:numId w:val="1"/>
        </w:numPr>
        <w:ind w:left="720" w:hanging="360"/>
        <w:jc w:val="both"/>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Sur la base de ces éléments, un plan d’actions présentant les grandes mesures à mettre en place avant l</w:t>
      </w:r>
      <w:r w:rsidDel="00000000" w:rsidR="00000000" w:rsidRPr="00000000">
        <w:rPr>
          <w:rFonts w:ascii="Tahoma" w:cs="Tahoma" w:eastAsia="Tahoma" w:hAnsi="Tahoma"/>
          <w:sz w:val="22"/>
          <w:szCs w:val="22"/>
          <w:rtl w:val="0"/>
        </w:rPr>
        <w:t xml:space="preserve">a mise en œuvre de l’EDS</w:t>
      </w:r>
      <w:r w:rsidDel="00000000" w:rsidR="00000000" w:rsidRPr="00000000">
        <w:rPr>
          <w:rFonts w:ascii="Tahoma" w:cs="Tahoma" w:eastAsia="Tahoma" w:hAnsi="Tahoma"/>
          <w:color w:val="000000"/>
          <w:sz w:val="22"/>
          <w:szCs w:val="22"/>
          <w:rtl w:val="0"/>
        </w:rPr>
        <w:t xml:space="preserve"> est présenté et approuvé en séance. Ce plan d’actions est structuré autour des mesures suivantes :</w:t>
      </w:r>
    </w:p>
    <w:p w:rsidR="00000000" w:rsidDel="00000000" w:rsidP="00000000" w:rsidRDefault="00000000" w:rsidRPr="00000000" w14:paraId="00000022">
      <w:pPr>
        <w:numPr>
          <w:ilvl w:val="1"/>
          <w:numId w:val="1"/>
        </w:numPr>
        <w:spacing w:after="160" w:lineRule="auto"/>
        <w:ind w:left="1440" w:hanging="360"/>
        <w:jc w:val="both"/>
        <w:rPr>
          <w:rFonts w:ascii="Tahoma" w:cs="Tahoma" w:eastAsia="Tahoma" w:hAnsi="Tahoma"/>
          <w:color w:val="ff9900"/>
          <w:sz w:val="22"/>
          <w:szCs w:val="22"/>
        </w:rPr>
      </w:pPr>
      <w:r w:rsidDel="00000000" w:rsidR="00000000" w:rsidRPr="00000000">
        <w:rPr>
          <w:rFonts w:ascii="Tahoma" w:cs="Tahoma" w:eastAsia="Tahoma" w:hAnsi="Tahoma"/>
          <w:color w:val="ff9900"/>
          <w:sz w:val="22"/>
          <w:szCs w:val="22"/>
          <w:rtl w:val="0"/>
        </w:rPr>
        <w:t xml:space="preserve">Lister le cas échéant les mesures fortes du plan d’actions</w:t>
      </w:r>
    </w:p>
    <w:p w:rsidR="00000000" w:rsidDel="00000000" w:rsidP="00000000" w:rsidRDefault="00000000" w:rsidRPr="00000000" w14:paraId="00000023">
      <w:pPr>
        <w:keepNext w:val="1"/>
        <w:keepLines w:val="1"/>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480" w:line="240" w:lineRule="auto"/>
        <w:ind w:left="360" w:right="0" w:hanging="360"/>
        <w:jc w:val="both"/>
        <w:rPr>
          <w:rFonts w:ascii="Tahoma" w:cs="Tahoma" w:eastAsia="Tahoma" w:hAnsi="Tahoma"/>
          <w:b w:val="1"/>
          <w:bCs w:val="1"/>
          <w:i w:val="0"/>
          <w:iCs w:val="0"/>
          <w:smallCaps w:val="0"/>
          <w:strike w:val="0"/>
          <w:color w:val="036287"/>
          <w:sz w:val="28"/>
          <w:szCs w:val="28"/>
          <w:u w:val="none"/>
          <w:shd w:fill="auto" w:val="clear"/>
          <w:vertAlign w:val="baseline"/>
        </w:rPr>
      </w:pPr>
      <w:r w:rsidDel="00000000" w:rsidR="00000000" w:rsidRPr="00000000">
        <w:rPr>
          <w:rFonts w:ascii="Tahoma" w:cs="Tahoma" w:eastAsia="Tahoma" w:hAnsi="Tahoma"/>
          <w:b w:val="1"/>
          <w:bCs w:val="1"/>
          <w:i w:val="0"/>
          <w:iCs w:val="0"/>
          <w:smallCaps w:val="0"/>
          <w:strike w:val="0"/>
          <w:color w:val="036287"/>
          <w:sz w:val="28"/>
          <w:szCs w:val="28"/>
          <w:u w:val="none"/>
          <w:shd w:fill="auto" w:val="clear"/>
          <w:vertAlign w:val="baseline"/>
          <w:rtl w:val="0"/>
        </w:rPr>
        <w:t xml:space="preserve">Relevé des échanges</w:t>
      </w:r>
    </w:p>
    <w:p w:rsidR="00000000" w:rsidDel="00000000" w:rsidP="00000000" w:rsidRDefault="00000000" w:rsidRPr="00000000" w14:paraId="00000024">
      <w:pPr>
        <w:spacing w:after="160" w:lineRule="auto"/>
        <w:jc w:val="both"/>
        <w:rPr>
          <w:rFonts w:ascii="Tahoma" w:cs="Tahoma" w:eastAsia="Tahoma" w:hAnsi="Tahoma"/>
          <w:color w:val="ff9900"/>
          <w:sz w:val="22"/>
          <w:szCs w:val="22"/>
        </w:rPr>
      </w:pPr>
      <w:r w:rsidDel="00000000" w:rsidR="00000000" w:rsidRPr="00000000">
        <w:rPr>
          <w:rFonts w:ascii="Tahoma" w:cs="Tahoma" w:eastAsia="Tahoma" w:hAnsi="Tahoma"/>
          <w:color w:val="000000"/>
          <w:sz w:val="22"/>
          <w:szCs w:val="22"/>
          <w:rtl w:val="0"/>
        </w:rPr>
        <w:br w:type="textWrapping"/>
      </w:r>
      <w:r w:rsidDel="00000000" w:rsidR="00000000" w:rsidRPr="00000000">
        <w:rPr>
          <w:rFonts w:ascii="Tahoma" w:cs="Tahoma" w:eastAsia="Tahoma" w:hAnsi="Tahoma"/>
          <w:color w:val="ff9900"/>
          <w:sz w:val="22"/>
          <w:szCs w:val="22"/>
          <w:rtl w:val="0"/>
        </w:rPr>
        <w:t xml:space="preserve">Consigner les échanges ayant eu lieu lors de la commission d’homologation et permettant d’éclairer la décision d’homologation, de souligner d’éventuels débats ou discussions autour de certaines mesures du plan d’actions, etc.</w:t>
      </w:r>
    </w:p>
    <w:p w:rsidR="00000000" w:rsidDel="00000000" w:rsidP="00000000" w:rsidRDefault="00000000" w:rsidRPr="00000000" w14:paraId="00000025">
      <w:pPr>
        <w:keepNext w:val="1"/>
        <w:keepLines w:val="1"/>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480" w:line="240" w:lineRule="auto"/>
        <w:ind w:left="360" w:right="0" w:hanging="360"/>
        <w:jc w:val="both"/>
        <w:rPr>
          <w:rFonts w:ascii="Tahoma" w:cs="Tahoma" w:eastAsia="Tahoma" w:hAnsi="Tahoma"/>
          <w:b w:val="1"/>
          <w:bCs w:val="1"/>
          <w:i w:val="0"/>
          <w:iCs w:val="0"/>
          <w:smallCaps w:val="0"/>
          <w:strike w:val="0"/>
          <w:color w:val="036287"/>
          <w:sz w:val="28"/>
          <w:szCs w:val="28"/>
          <w:u w:val="none"/>
          <w:shd w:fill="auto" w:val="clear"/>
          <w:vertAlign w:val="baseline"/>
        </w:rPr>
      </w:pPr>
      <w:r w:rsidDel="00000000" w:rsidR="00000000" w:rsidRPr="00000000">
        <w:rPr>
          <w:rFonts w:ascii="Tahoma" w:cs="Tahoma" w:eastAsia="Tahoma" w:hAnsi="Tahoma"/>
          <w:b w:val="1"/>
          <w:bCs w:val="1"/>
          <w:color w:val="036287"/>
          <w:sz w:val="28"/>
          <w:szCs w:val="28"/>
          <w:rtl w:val="0"/>
        </w:rPr>
        <w:t xml:space="preserve">Proposition de d</w:t>
      </w:r>
      <w:r w:rsidDel="00000000" w:rsidR="00000000" w:rsidRPr="00000000">
        <w:rPr>
          <w:rFonts w:ascii="Tahoma" w:cs="Tahoma" w:eastAsia="Tahoma" w:hAnsi="Tahoma"/>
          <w:b w:val="1"/>
          <w:bCs w:val="1"/>
          <w:i w:val="0"/>
          <w:iCs w:val="0"/>
          <w:smallCaps w:val="0"/>
          <w:strike w:val="0"/>
          <w:color w:val="036287"/>
          <w:sz w:val="28"/>
          <w:szCs w:val="28"/>
          <w:u w:val="none"/>
          <w:shd w:fill="auto" w:val="clear"/>
          <w:vertAlign w:val="baseline"/>
          <w:rtl w:val="0"/>
        </w:rPr>
        <w:t xml:space="preserve">écision d’homologation</w:t>
      </w:r>
    </w:p>
    <w:p w:rsidR="00000000" w:rsidDel="00000000" w:rsidP="00000000" w:rsidRDefault="00000000" w:rsidRPr="00000000" w14:paraId="00000026">
      <w:pPr>
        <w:jc w:val="both"/>
        <w:rPr>
          <w:rFonts w:ascii="Tahoma" w:cs="Tahoma" w:eastAsia="Tahoma" w:hAnsi="Tahoma"/>
        </w:rPr>
      </w:pPr>
      <w:r w:rsidDel="00000000" w:rsidR="00000000" w:rsidRPr="00000000">
        <w:rPr>
          <w:rtl w:val="0"/>
        </w:rPr>
      </w:r>
    </w:p>
    <w:p w:rsidR="00000000" w:rsidDel="00000000" w:rsidP="00000000" w:rsidRDefault="00000000" w:rsidRPr="00000000" w14:paraId="00000027">
      <w:pPr>
        <w:numPr>
          <w:ilvl w:val="0"/>
          <w:numId w:val="3"/>
        </w:numPr>
        <w:ind w:left="720" w:hanging="360"/>
        <w:jc w:val="both"/>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La commission d’homologation relève que les risques résiduels ont été identifiés et ne sont pas susceptibles, en l’état, d’entraver l’homologation de l’e</w:t>
      </w:r>
      <w:r w:rsidDel="00000000" w:rsidR="00000000" w:rsidRPr="00000000">
        <w:rPr>
          <w:rFonts w:ascii="Tahoma" w:cs="Tahoma" w:eastAsia="Tahoma" w:hAnsi="Tahoma"/>
          <w:sz w:val="22"/>
          <w:szCs w:val="22"/>
          <w:rtl w:val="0"/>
        </w:rPr>
        <w:t xml:space="preserve">ntrepôt de données de santé </w:t>
      </w:r>
      <w:r w:rsidDel="00000000" w:rsidR="00000000" w:rsidRPr="00000000">
        <w:rPr>
          <w:rFonts w:ascii="Tahoma" w:cs="Tahoma" w:eastAsia="Tahoma" w:hAnsi="Tahoma"/>
          <w:i w:val="1"/>
          <w:iCs w:val="1"/>
          <w:sz w:val="22"/>
          <w:szCs w:val="22"/>
          <w:highlight w:val="yellow"/>
          <w:rtl w:val="0"/>
        </w:rPr>
        <w:t xml:space="preserve">[Nom de l’EDS]</w:t>
      </w:r>
      <w:r w:rsidDel="00000000" w:rsidR="00000000" w:rsidRPr="00000000">
        <w:rPr>
          <w:rFonts w:ascii="Tahoma" w:cs="Tahoma" w:eastAsia="Tahoma" w:hAnsi="Tahoma"/>
          <w:color w:val="000000"/>
          <w:sz w:val="22"/>
          <w:szCs w:val="22"/>
          <w:rtl w:val="0"/>
        </w:rPr>
        <w:t xml:space="preserve"> ou sont, en tout état de cause, pondérés par le plan d’actions de manière à ne pas entraver cette homologation.</w:t>
      </w:r>
    </w:p>
    <w:p w:rsidR="00000000" w:rsidDel="00000000" w:rsidP="00000000" w:rsidRDefault="00000000" w:rsidRPr="00000000" w14:paraId="00000028">
      <w:pPr>
        <w:numPr>
          <w:ilvl w:val="0"/>
          <w:numId w:val="3"/>
        </w:numPr>
        <w:ind w:left="720" w:hanging="360"/>
        <w:jc w:val="both"/>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Dans cette configuration, la commission d’homologation propose une homologation portant sur une durée maximale de trois (3) ans.</w:t>
      </w:r>
    </w:p>
    <w:sectPr>
      <w:headerReference r:id="rId7" w:type="default"/>
      <w:footerReference r:id="rId8" w:type="default"/>
      <w:pgSz w:h="16838" w:w="11906" w:orient="portrait"/>
      <w:pgMar w:bottom="1417" w:top="1417" w:left="1417" w:right="1417" w:header="397" w:footer="5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36"/>
        <w:tab w:val="right" w:leader="none" w:pos="9072"/>
      </w:tabs>
      <w:jc w:val="right"/>
      <w:rPr>
        <w:rFonts w:ascii="Tahoma" w:cs="Tahoma" w:eastAsia="Tahoma" w:hAnsi="Tahoma"/>
        <w:color w:val="000000"/>
        <w:sz w:val="16"/>
        <w:szCs w:val="16"/>
      </w:rPr>
    </w:pPr>
    <w:r w:rsidDel="00000000" w:rsidR="00000000" w:rsidRPr="00000000">
      <w:rPr>
        <w:rFonts w:ascii="Tahoma" w:cs="Tahoma" w:eastAsia="Tahoma" w:hAnsi="Tahoma"/>
        <w:color w:val="000000"/>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36"/>
        <w:tab w:val="right" w:leader="none" w:pos="9072"/>
      </w:tabs>
      <w:rPr>
        <w:rFonts w:ascii="Tahoma" w:cs="Tahoma" w:eastAsia="Tahoma" w:hAnsi="Tahoma"/>
        <w:color w:val="000000"/>
        <w:sz w:val="14"/>
        <w:szCs w:val="14"/>
      </w:rPr>
    </w:pPr>
    <w:r w:rsidDel="00000000" w:rsidR="00000000" w:rsidRPr="00000000">
      <w:rPr>
        <w:rFonts w:ascii="Tahoma" w:cs="Tahoma" w:eastAsia="Tahoma" w:hAnsi="Tahoma"/>
        <w:sz w:val="14"/>
        <w:szCs w:val="14"/>
        <w:rtl w:val="0"/>
      </w:rPr>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drawing>
        <wp:anchor allowOverlap="1" behindDoc="0" distB="0" distT="0" distL="0" distR="0" hidden="0" layoutInCell="1" locked="0" relativeHeight="0" simplePos="0">
          <wp:simplePos x="0" y="0"/>
          <wp:positionH relativeFrom="page">
            <wp:posOffset>6669729</wp:posOffset>
          </wp:positionH>
          <wp:positionV relativeFrom="page">
            <wp:posOffset>9525</wp:posOffset>
          </wp:positionV>
          <wp:extent cx="972329" cy="891302"/>
          <wp:effectExtent b="0" l="0" r="0" t="0"/>
          <wp:wrapNone/>
          <wp:docPr id="1" name="image1.png"/>
          <a:graphic>
            <a:graphicData uri="http://schemas.openxmlformats.org/drawingml/2006/picture">
              <pic:pic>
                <pic:nvPicPr>
                  <pic:cNvPr id="0" name="image1.png"/>
                  <pic:cNvPicPr preferRelativeResize="0"/>
                </pic:nvPicPr>
                <pic:blipFill>
                  <a:blip r:embed="rId1"/>
                  <a:srcRect b="5319" l="0" r="0" t="-5319"/>
                  <a:stretch>
                    <a:fillRect/>
                  </a:stretch>
                </pic:blipFill>
                <pic:spPr>
                  <a:xfrm rot="16200000">
                    <a:off x="0" y="0"/>
                    <a:ext cx="972329" cy="891302"/>
                  </a:xfrm>
                  <a:prstGeom prst="rect"/>
                  <a:ln/>
                </pic:spPr>
              </pic:pic>
            </a:graphicData>
          </a:graphic>
        </wp:anchor>
      </w:drawing>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decimal"/>
      <w:lvlText w:val="%1."/>
      <w:lvlJc w:val="left"/>
      <w:pPr>
        <w:ind w:left="360" w:hanging="360"/>
      </w:pPr>
      <w:rPr>
        <w:u w:val="none"/>
      </w:rPr>
    </w:lvl>
    <w:lvl w:ilvl="1">
      <w:start w:val="1"/>
      <w:numFmt w:val="bullet"/>
      <w:lvlText w:val="●"/>
      <w:lvlJc w:val="left"/>
      <w:pPr>
        <w:ind w:left="1080" w:hanging="360"/>
      </w:pPr>
      <w:rPr>
        <w:rFonts w:ascii="Noto Sans Symbols" w:cs="Noto Sans Symbols" w:eastAsia="Noto Sans Symbols" w:hAnsi="Noto Sans Symbols"/>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Tahoma" w:cs="Tahoma" w:eastAsia="Tahoma" w:hAnsi="Tahoma"/>
        <w:sz w:val="16"/>
        <w:szCs w:val="16"/>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ind w:left="720" w:hanging="360"/>
    </w:pPr>
    <w:rPr>
      <w:rFonts w:ascii="Tahoma" w:cs="Tahoma" w:eastAsia="Tahoma" w:hAnsi="Tahoma"/>
      <w:b w:val="1"/>
      <w:bCs w:val="1"/>
      <w:color w:val="036287"/>
      <w:sz w:val="28"/>
      <w:szCs w:val="28"/>
    </w:rPr>
  </w:style>
  <w:style w:type="paragraph" w:styleId="Heading2">
    <w:name w:val="heading 2"/>
    <w:basedOn w:val="Normal"/>
    <w:next w:val="Normal"/>
    <w:pPr>
      <w:keepNext w:val="1"/>
      <w:keepLines w:val="1"/>
      <w:spacing w:after="80" w:before="360" w:lineRule="auto"/>
    </w:pPr>
    <w:rPr>
      <w:rFonts w:ascii="Tahoma" w:cs="Tahoma" w:eastAsia="Tahoma" w:hAnsi="Tahoma"/>
      <w:b w:val="1"/>
      <w:bCs w:val="1"/>
    </w:rPr>
  </w:style>
  <w:style w:type="paragraph" w:styleId="Heading3">
    <w:name w:val="heading 3"/>
    <w:basedOn w:val="Normal"/>
    <w:next w:val="Normal"/>
    <w:pPr>
      <w:keepNext w:val="1"/>
      <w:keepLines w:val="1"/>
      <w:spacing w:before="40" w:lineRule="auto"/>
    </w:pPr>
    <w:rPr>
      <w:rFonts w:ascii="Calibri" w:cs="Calibri" w:eastAsia="Calibri" w:hAnsi="Calibri"/>
      <w:color w:val="1f3863"/>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NreltdUq+OlPi4elS7CemsubwA==">CgMxLjA4AHIhMWo1U3EtZU1ianpTTE9LcGlPaXdCSmIwWFhWb29RUjdi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